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8504E" w14:textId="000E8C6C" w:rsidR="00F844F5" w:rsidRPr="00F844F5" w:rsidRDefault="00C843BF" w:rsidP="00F844F5">
      <w:pPr>
        <w:spacing w:after="0" w:line="240" w:lineRule="auto"/>
        <w:jc w:val="right"/>
        <w:rPr>
          <w:rFonts w:ascii="Microsoft JhengHei" w:eastAsia="Microsoft JhengHei" w:hAnsi="Microsoft JhengHei" w:cs="Arial"/>
          <w:b/>
          <w:caps/>
        </w:rPr>
      </w:pPr>
      <w:r w:rsidRPr="00C843BF">
        <w:rPr>
          <w:rFonts w:ascii="Microsoft JhengHei" w:eastAsia="Microsoft JhengHei" w:hAnsi="Microsoft JhengHei" w:cs="Arial" w:hint="eastAsia"/>
          <w:b/>
          <w:caps/>
        </w:rPr>
        <w:t>即時發</w:t>
      </w:r>
      <w:r w:rsidR="00AF6F66">
        <w:rPr>
          <w:rFonts w:ascii="Microsoft JhengHei" w:eastAsia="Microsoft JhengHei" w:hAnsi="Microsoft JhengHei" w:cs="Arial" w:hint="eastAsia"/>
          <w:b/>
          <w:caps/>
          <w:lang w:eastAsia="zh-HK"/>
        </w:rPr>
        <w:t>佈</w:t>
      </w:r>
    </w:p>
    <w:p w14:paraId="351D9E72" w14:textId="52F49B43" w:rsidR="00F844F5" w:rsidRPr="007A570D" w:rsidRDefault="00F844F5" w:rsidP="00F844F5">
      <w:pPr>
        <w:pStyle w:val="Heading1"/>
        <w:spacing w:before="0"/>
        <w:jc w:val="right"/>
        <w:rPr>
          <w:rFonts w:ascii="Microsoft JhengHei" w:eastAsia="Microsoft JhengHei" w:hAnsi="Microsoft JhengHei" w:cs="Times New Roman"/>
          <w:bCs w:val="0"/>
          <w:color w:val="auto"/>
          <w:sz w:val="20"/>
          <w:szCs w:val="20"/>
        </w:rPr>
      </w:pPr>
      <w:r w:rsidRPr="005D41B3">
        <w:rPr>
          <w:rFonts w:ascii="Microsoft JhengHei" w:eastAsia="Microsoft JhengHei" w:hAnsi="Microsoft JhengHei" w:cs="Times New Roman"/>
          <w:bCs w:val="0"/>
          <w:color w:val="auto"/>
          <w:sz w:val="20"/>
          <w:szCs w:val="20"/>
        </w:rPr>
        <w:t>2019年</w:t>
      </w:r>
      <w:r w:rsidR="00EB15DC" w:rsidRPr="005D41B3">
        <w:rPr>
          <w:rFonts w:ascii="Microsoft JhengHei" w:eastAsia="Microsoft JhengHei" w:hAnsi="Microsoft JhengHei" w:cs="Times New Roman"/>
          <w:bCs w:val="0"/>
          <w:color w:val="auto"/>
          <w:sz w:val="20"/>
          <w:szCs w:val="20"/>
        </w:rPr>
        <w:t>8</w:t>
      </w:r>
      <w:r w:rsidRPr="005D41B3">
        <w:rPr>
          <w:rFonts w:ascii="Microsoft JhengHei" w:eastAsia="Microsoft JhengHei" w:hAnsi="Microsoft JhengHei" w:cs="Times New Roman"/>
          <w:bCs w:val="0"/>
          <w:color w:val="auto"/>
          <w:sz w:val="20"/>
          <w:szCs w:val="20"/>
        </w:rPr>
        <w:t>月</w:t>
      </w:r>
      <w:r w:rsidR="00EB15DC" w:rsidRPr="005D41B3">
        <w:rPr>
          <w:rFonts w:ascii="Microsoft JhengHei" w:eastAsia="Microsoft JhengHei" w:hAnsi="Microsoft JhengHei" w:cs="Times New Roman"/>
          <w:bCs w:val="0"/>
          <w:color w:val="auto"/>
          <w:sz w:val="20"/>
          <w:szCs w:val="20"/>
        </w:rPr>
        <w:t>1</w:t>
      </w:r>
      <w:r w:rsidRPr="005D41B3">
        <w:rPr>
          <w:rFonts w:ascii="Microsoft JhengHei" w:eastAsia="Microsoft JhengHei" w:hAnsi="Microsoft JhengHei" w:cs="Times New Roman"/>
          <w:bCs w:val="0"/>
          <w:color w:val="auto"/>
          <w:sz w:val="20"/>
          <w:szCs w:val="20"/>
        </w:rPr>
        <w:t>日</w:t>
      </w:r>
    </w:p>
    <w:p w14:paraId="793D2F21" w14:textId="30DDECE8" w:rsidR="003F604F" w:rsidRPr="009F7A09" w:rsidRDefault="003F604F" w:rsidP="006C2B8E">
      <w:pPr>
        <w:spacing w:after="0" w:line="240" w:lineRule="auto"/>
        <w:ind w:right="2400"/>
        <w:jc w:val="center"/>
        <w:rPr>
          <w:rFonts w:ascii="Microsoft YaHei" w:eastAsia="Microsoft YaHei" w:hAnsi="Microsoft YaHei" w:cs="Arial"/>
          <w:b/>
          <w:sz w:val="20"/>
          <w:szCs w:val="20"/>
        </w:rPr>
      </w:pPr>
    </w:p>
    <w:p w14:paraId="1FA44DCB" w14:textId="77777777" w:rsidR="009D6F60" w:rsidRPr="009D6F60" w:rsidRDefault="009D6F60" w:rsidP="009D6F6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icrosoft YaHei" w:eastAsia="Microsoft YaHei" w:hAnsi="Microsoft YaHei" w:cs="Arial"/>
          <w:b/>
          <w:bCs/>
          <w:color w:val="2E74B5" w:themeColor="accent1" w:themeShade="BF"/>
          <w:sz w:val="32"/>
          <w:szCs w:val="30"/>
          <w:lang w:val="en-US" w:eastAsia="zh-CN"/>
        </w:rPr>
      </w:pPr>
      <w:r w:rsidRPr="009D6F60">
        <w:rPr>
          <w:rFonts w:ascii="Microsoft YaHei" w:eastAsia="Microsoft YaHei" w:hAnsi="Microsoft YaHei" w:cs="Arial" w:hint="eastAsia"/>
          <w:b/>
          <w:bCs/>
          <w:color w:val="2E74B5" w:themeColor="accent1" w:themeShade="BF"/>
          <w:sz w:val="32"/>
          <w:szCs w:val="30"/>
          <w:lang w:val="en-US" w:eastAsia="zh-CN"/>
        </w:rPr>
        <w:t>卓佳集團與中銀國際攜手在粵港澳大灣區和長三角地區</w:t>
      </w:r>
    </w:p>
    <w:p w14:paraId="17891679" w14:textId="77777777" w:rsidR="009D6F60" w:rsidRDefault="009D6F60" w:rsidP="009D6F6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icrosoft YaHei" w:eastAsia="Microsoft YaHei" w:hAnsi="Microsoft YaHei" w:cs="Arial"/>
          <w:b/>
          <w:bCs/>
          <w:color w:val="2E74B5" w:themeColor="accent1" w:themeShade="BF"/>
          <w:sz w:val="32"/>
          <w:szCs w:val="30"/>
          <w:lang w:val="en-US" w:eastAsia="zh-CN"/>
        </w:rPr>
      </w:pPr>
      <w:r w:rsidRPr="009D6F60">
        <w:rPr>
          <w:rFonts w:ascii="Microsoft YaHei" w:eastAsia="Microsoft YaHei" w:hAnsi="Microsoft YaHei" w:cs="Arial" w:hint="eastAsia"/>
          <w:b/>
          <w:bCs/>
          <w:color w:val="2E74B5" w:themeColor="accent1" w:themeShade="BF"/>
          <w:sz w:val="32"/>
          <w:szCs w:val="30"/>
          <w:lang w:val="en-US" w:eastAsia="zh-CN"/>
        </w:rPr>
        <w:t>擴大員工持股計劃的合作藍圖</w:t>
      </w:r>
    </w:p>
    <w:p w14:paraId="5698AAEB" w14:textId="790D8A8C" w:rsidR="00C843BF" w:rsidRPr="00C843BF" w:rsidRDefault="006C2B8E" w:rsidP="009D6F60">
      <w:pPr>
        <w:pStyle w:val="NormalWeb"/>
        <w:shd w:val="clear" w:color="auto" w:fill="FFFFFF"/>
        <w:spacing w:after="0"/>
        <w:jc w:val="both"/>
        <w:textAlignment w:val="baseline"/>
        <w:rPr>
          <w:rFonts w:ascii="Arial" w:eastAsia="Microsoft YaHei" w:hAnsi="Arial" w:cs="Arial"/>
          <w:spacing w:val="5"/>
          <w:sz w:val="20"/>
          <w:szCs w:val="22"/>
          <w:lang w:eastAsia="zh-CN"/>
        </w:rPr>
      </w:pP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亞洲領先的業務拓展專家</w:t>
      </w:r>
      <w:r w:rsidR="00C843BF" w:rsidRPr="00C843BF">
        <w:rPr>
          <w:rFonts w:ascii="Arial" w:eastAsia="Microsoft YaHei" w:hAnsi="Arial" w:cs="Arial" w:hint="eastAsia"/>
          <w:b/>
          <w:spacing w:val="5"/>
          <w:sz w:val="20"/>
          <w:szCs w:val="22"/>
          <w:lang w:eastAsia="zh-CN"/>
        </w:rPr>
        <w:t>卓佳集團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與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中國最早成立的投資銀行</w:t>
      </w:r>
      <w:r w:rsidR="00C843BF" w:rsidRPr="006C2B8E">
        <w:rPr>
          <w:rFonts w:ascii="Arial" w:eastAsia="Microsoft YaHei" w:hAnsi="Arial" w:cs="Arial" w:hint="eastAsia"/>
          <w:b/>
          <w:spacing w:val="5"/>
          <w:sz w:val="20"/>
          <w:szCs w:val="22"/>
          <w:lang w:eastAsia="zh-CN"/>
        </w:rPr>
        <w:t>中銀國際控股有限公司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（下稱</w:t>
      </w:r>
      <w:r w:rsidR="00F310A3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「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中銀國際</w:t>
      </w:r>
      <w:r w:rsidR="00F310A3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」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建立戰略合作關係</w:t>
      </w:r>
      <w:r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="00E76367" w:rsidRPr="00E76367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透過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員工持股計劃（</w:t>
      </w:r>
      <w:r w:rsidR="00F310A3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「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ESOP</w:t>
      </w:r>
      <w:r w:rsidR="00F310A3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」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）解決</w:t>
      </w:r>
      <w:r w:rsidR="00E76367" w:rsidRPr="00E76367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方案</w:t>
      </w:r>
      <w:r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擴大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在粵港澳大灣區（下稱</w:t>
      </w:r>
      <w:r w:rsidR="00F310A3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「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大灣區</w:t>
      </w:r>
      <w:r w:rsidR="00F310A3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」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）及長三角地區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的合作藍圖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。</w:t>
      </w:r>
    </w:p>
    <w:p w14:paraId="39E1D60F" w14:textId="5EC87235" w:rsidR="00C843BF" w:rsidRPr="00C843BF" w:rsidRDefault="00C843BF" w:rsidP="00C843BF">
      <w:pPr>
        <w:pStyle w:val="NormalWeb"/>
        <w:shd w:val="clear" w:color="auto" w:fill="FFFFFF"/>
        <w:spacing w:after="0"/>
        <w:jc w:val="both"/>
        <w:textAlignment w:val="baseline"/>
        <w:rPr>
          <w:rFonts w:ascii="Arial" w:eastAsia="Microsoft YaHei" w:hAnsi="Arial" w:cs="Arial"/>
          <w:spacing w:val="5"/>
          <w:sz w:val="20"/>
          <w:szCs w:val="22"/>
          <w:lang w:eastAsia="zh-CN"/>
        </w:rPr>
      </w:pP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越來越多上市公司利用超越傳統薪酬方案的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ESOP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作為激勵和挽留人才的工具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。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卓佳</w:t>
      </w:r>
      <w:r w:rsidR="00F310A3" w:rsidRPr="00F310A3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是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提供受託人和信託管理服務的</w:t>
      </w:r>
      <w:r w:rsidR="00F310A3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ESOP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專家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而</w:t>
      </w:r>
      <w:r w:rsidR="003E59F3" w:rsidRPr="003E59F3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中銀國際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則</w:t>
      </w:r>
      <w:r w:rsidR="00F310A3" w:rsidRPr="00F310A3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是在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ESOP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業界擁有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15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年</w:t>
      </w:r>
      <w:r w:rsidR="00F310A3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經驗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的市場領導者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擁有具備數據管理</w:t>
      </w:r>
      <w:r w:rsidR="006C2B8E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、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股票交易和提供報表功能的高效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ESOP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網上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服務平台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。</w:t>
      </w:r>
    </w:p>
    <w:p w14:paraId="27DDCB60" w14:textId="4BEE411F" w:rsidR="00C843BF" w:rsidRPr="00C843BF" w:rsidRDefault="003E59F3" w:rsidP="00355735">
      <w:pPr>
        <w:pStyle w:val="NormalWeb"/>
        <w:shd w:val="clear" w:color="auto" w:fill="FFFFFF"/>
        <w:spacing w:after="0"/>
        <w:jc w:val="both"/>
        <w:textAlignment w:val="baseline"/>
        <w:rPr>
          <w:rFonts w:ascii="Arial" w:eastAsia="Microsoft YaHei" w:hAnsi="Arial" w:cs="Arial"/>
          <w:spacing w:val="5"/>
          <w:sz w:val="20"/>
          <w:szCs w:val="22"/>
          <w:lang w:eastAsia="zh-CN"/>
        </w:rPr>
      </w:pPr>
      <w:r w:rsidRPr="003E59F3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透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過</w:t>
      </w:r>
      <w:r w:rsidRPr="003E59F3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是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次合作</w:t>
      </w:r>
      <w:r w:rsidR="006C2B8E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卓佳與中銀國際聯合提供一站式綜合解決方案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="00F310A3" w:rsidRPr="00F310A3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讓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客戶能夠輕鬆管理</w:t>
      </w:r>
      <w:r w:rsidR="00E76367" w:rsidRPr="00E76367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其</w:t>
      </w:r>
      <w:r w:rsidR="00E76367" w:rsidRPr="00E76367">
        <w:rPr>
          <w:rFonts w:ascii="Arial" w:eastAsia="Microsoft YaHei" w:hAnsi="Arial" w:cs="Arial"/>
          <w:spacing w:val="5"/>
          <w:sz w:val="20"/>
          <w:szCs w:val="22"/>
          <w:lang w:eastAsia="zh-CN"/>
        </w:rPr>
        <w:t>ESOP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計劃</w:t>
      </w:r>
      <w:r w:rsidR="00E76367" w:rsidRPr="009D6F60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。</w:t>
      </w:r>
      <w:r w:rsidR="002D0946" w:rsidRPr="009D6F60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該</w:t>
      </w:r>
      <w:r w:rsidR="00F310A3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計劃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包括建立信</w:t>
      </w:r>
      <w:r w:rsidR="00F310A3" w:rsidRPr="00F310A3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託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結構</w:t>
      </w:r>
      <w:r w:rsidR="00F310A3" w:rsidRPr="009D6F60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、</w:t>
      </w:r>
      <w:r w:rsidR="00F310A3" w:rsidRPr="00F310A3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委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任受託人維護股票池</w:t>
      </w:r>
      <w:r w:rsidR="00F310A3" w:rsidRPr="00F310A3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的日常維護和管理</w:t>
      </w:r>
      <w:r w:rsidR="00E76367" w:rsidRPr="009D6F60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、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統籌</w:t>
      </w:r>
      <w:r w:rsidR="00F310A3" w:rsidRPr="00F310A3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相關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程序</w:t>
      </w:r>
      <w:r w:rsidR="00E76367" w:rsidRPr="009D6F60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，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以及監</w:t>
      </w:r>
      <w:r w:rsidR="00BB2461" w:rsidRPr="00BB2461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督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ESOP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解決方案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為</w:t>
      </w:r>
      <w:r w:rsidR="00F310A3" w:rsidRPr="00F310A3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僱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主和員工提供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一個整合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計劃和股權</w:t>
      </w:r>
      <w:r w:rsidR="00355735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管理</w:t>
      </w:r>
      <w:r w:rsidR="00C843BF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的無縫交易平台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。</w:t>
      </w:r>
    </w:p>
    <w:p w14:paraId="02CFF81F" w14:textId="522DCE03" w:rsidR="00C843BF" w:rsidRPr="00355735" w:rsidRDefault="00C843BF" w:rsidP="00C843BF">
      <w:pPr>
        <w:pStyle w:val="NormalWeb"/>
        <w:shd w:val="clear" w:color="auto" w:fill="FFFFFF"/>
        <w:spacing w:after="0"/>
        <w:jc w:val="both"/>
        <w:textAlignment w:val="baseline"/>
        <w:rPr>
          <w:rFonts w:ascii="Arial" w:eastAsia="Microsoft YaHei" w:hAnsi="Arial" w:cs="Arial"/>
          <w:spacing w:val="5"/>
          <w:sz w:val="20"/>
          <w:szCs w:val="22"/>
          <w:lang w:eastAsia="zh-CN"/>
        </w:rPr>
      </w:pP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卓佳集團行政總裁楊斌官表示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：</w:t>
      </w:r>
      <w:r w:rsidR="006C5D03">
        <w:rPr>
          <w:rFonts w:asciiTheme="minorEastAsia" w:eastAsiaTheme="minorEastAsia" w:hAnsiTheme="minorEastAsia" w:cs="Arial" w:hint="eastAsia"/>
          <w:spacing w:val="5"/>
          <w:sz w:val="20"/>
          <w:lang w:eastAsia="zh-HK"/>
        </w:rPr>
        <w:t>「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我們致力不斷改善客戶體驗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與中銀國際的合作</w:t>
      </w:r>
      <w:r w:rsidR="006C2B8E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正是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如</w:t>
      </w:r>
      <w:r w:rsidR="006C2B8E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此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。</w:t>
      </w:r>
      <w:r w:rsidR="006C2B8E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透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過將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中銀國際強大的股票交易平台與我們作為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受託人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專業知識相結合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雙方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企業</w:t>
      </w:r>
      <w:r w:rsid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客戶及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其企業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員工將享受無縫的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ESOP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體驗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從而實現持續的業務增長。我相信</w:t>
      </w:r>
      <w:r w:rsidR="00F310A3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是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次合作將取得</w:t>
      </w:r>
      <w:r w:rsidR="00F310A3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重大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成功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並將成為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卓佳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在中國內地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拓展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業務並持續努力的新里程碑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。</w:t>
      </w:r>
      <w:r w:rsidR="00AF6F66">
        <w:rPr>
          <w:rFonts w:asciiTheme="minorEastAsia" w:eastAsiaTheme="minorEastAsia" w:hAnsiTheme="minorEastAsia" w:cs="Arial" w:hint="eastAsia"/>
          <w:spacing w:val="5"/>
          <w:sz w:val="20"/>
          <w:lang w:eastAsia="zh-HK"/>
        </w:rPr>
        <w:t>」</w:t>
      </w:r>
    </w:p>
    <w:p w14:paraId="7F6E735B" w14:textId="023D1129" w:rsidR="00C843BF" w:rsidRPr="00355735" w:rsidRDefault="00C843BF" w:rsidP="00C843BF">
      <w:pPr>
        <w:pStyle w:val="NormalWeb"/>
        <w:shd w:val="clear" w:color="auto" w:fill="FFFFFF"/>
        <w:spacing w:after="0"/>
        <w:jc w:val="both"/>
        <w:textAlignment w:val="baseline"/>
        <w:rPr>
          <w:rFonts w:ascii="Arial" w:eastAsia="Microsoft YaHei" w:hAnsi="Arial" w:cs="Arial"/>
          <w:spacing w:val="5"/>
          <w:sz w:val="20"/>
          <w:szCs w:val="22"/>
          <w:lang w:eastAsia="zh-CN"/>
        </w:rPr>
      </w:pP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新產品將面向卓佳在香港和中國內地的客戶</w:t>
      </w:r>
      <w:r w:rsidR="00AF6F66" w:rsidRPr="00AF6F66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度身訂造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。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粵港澳大灣區的發展勢頭良好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這次合作</w:t>
      </w:r>
      <w:r w:rsidR="002D0946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正好契合企業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在大灣區建立業務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、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需要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透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過股票激勵吸引人才的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發展</w:t>
      </w:r>
      <w:r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時機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。</w:t>
      </w:r>
    </w:p>
    <w:p w14:paraId="2A7F6050" w14:textId="28F7F799" w:rsidR="00F844F5" w:rsidRPr="001E5824" w:rsidRDefault="00C843BF" w:rsidP="001E58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Microsoft YaHei" w:hAnsi="Arial" w:cs="Arial"/>
          <w:spacing w:val="5"/>
          <w:sz w:val="20"/>
          <w:szCs w:val="22"/>
          <w:lang w:eastAsia="zh-CN"/>
        </w:rPr>
      </w:pP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卓佳香港</w:t>
      </w:r>
      <w:r w:rsidR="000226D8" w:rsidRPr="000226D8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行政總裁</w:t>
      </w:r>
      <w:r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溫佩麟表示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：</w:t>
      </w:r>
      <w:r w:rsidR="00355735">
        <w:rPr>
          <w:rFonts w:asciiTheme="minorEastAsia" w:eastAsiaTheme="minorEastAsia" w:hAnsiTheme="minorEastAsia" w:cs="Arial" w:hint="eastAsia"/>
          <w:spacing w:val="5"/>
          <w:sz w:val="20"/>
          <w:lang w:eastAsia="zh-HK"/>
        </w:rPr>
        <w:t>「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隨著</w:t>
      </w:r>
      <w:r w:rsidR="003E59F3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更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多</w:t>
      </w:r>
      <w:r w:rsidR="003E59F3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企業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推出在大灣區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拓展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業務的計劃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大灣區展現出蓬勃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的新氣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象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。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我們與</w:t>
      </w:r>
      <w:r w:rsidR="003E59F3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中銀國際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的合作無疑將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協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助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雙方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的客戶在這個快速增長的市場中擴展業務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以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更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有效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管理其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ESOP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方案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。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透過我們作為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市場上的兩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大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領導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企業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聯手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為客戶</w:t>
      </w:r>
      <w:r w:rsidR="006C2B8E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爭取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更大</w:t>
      </w:r>
      <w:r w:rsidR="006C2B8E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利益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便</w:t>
      </w:r>
      <w:r w:rsidR="006C2B8E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能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進一步</w:t>
      </w:r>
      <w:r w:rsidR="006C2B8E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達至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共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贏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。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我期待與中銀國際合作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="006C2B8E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針對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具有戰略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效益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的大灣區和中國其他地區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TW"/>
        </w:rPr>
        <w:t>，</w:t>
      </w:r>
      <w:r w:rsidR="006C2B8E"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共同探索</w:t>
      </w:r>
      <w:r w:rsidR="006C2B8E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和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提升</w:t>
      </w:r>
      <w:r w:rsidR="00355735" w:rsidRPr="00C843BF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我們</w:t>
      </w:r>
      <w:r w:rsidR="00355735" w:rsidRPr="00355735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的一站式</w:t>
      </w:r>
      <w:r w:rsidRPr="006C2B8E">
        <w:rPr>
          <w:rFonts w:ascii="Arial" w:eastAsia="Microsoft YaHei" w:hAnsi="Arial" w:cs="Arial" w:hint="eastAsia"/>
          <w:spacing w:val="5"/>
          <w:sz w:val="20"/>
          <w:szCs w:val="22"/>
          <w:lang w:eastAsia="zh-CN"/>
        </w:rPr>
        <w:t>服務</w:t>
      </w:r>
      <w:r w:rsidR="00E76367">
        <w:rPr>
          <w:rFonts w:asciiTheme="minorEastAsia" w:eastAsiaTheme="minorEastAsia" w:hAnsiTheme="minorEastAsia" w:cs="Arial" w:hint="eastAsia"/>
          <w:spacing w:val="5"/>
          <w:sz w:val="20"/>
          <w:szCs w:val="22"/>
          <w:lang w:eastAsia="zh-HK"/>
        </w:rPr>
        <w:t>。</w:t>
      </w:r>
      <w:r w:rsidR="00355735">
        <w:rPr>
          <w:rFonts w:asciiTheme="minorEastAsia" w:eastAsiaTheme="minorEastAsia" w:hAnsiTheme="minorEastAsia" w:cs="Arial" w:hint="eastAsia"/>
          <w:spacing w:val="5"/>
          <w:sz w:val="20"/>
          <w:lang w:eastAsia="zh-HK"/>
        </w:rPr>
        <w:t>」</w:t>
      </w:r>
      <w:bookmarkStart w:id="0" w:name="_GoBack"/>
      <w:bookmarkEnd w:id="0"/>
    </w:p>
    <w:p w14:paraId="3D4191B6" w14:textId="7DDC322C" w:rsidR="00C843BF" w:rsidRPr="00C843BF" w:rsidRDefault="00C843BF" w:rsidP="00C843BF">
      <w:pPr>
        <w:spacing w:after="0"/>
        <w:rPr>
          <w:rFonts w:ascii="Arial" w:eastAsia="Microsoft YaHei" w:hAnsi="Arial" w:cs="Arial"/>
          <w:spacing w:val="5"/>
          <w:sz w:val="20"/>
          <w:lang w:val="en-GB" w:eastAsia="zh-CN"/>
        </w:rPr>
      </w:pPr>
      <w:r w:rsidRPr="00C843BF">
        <w:rPr>
          <w:rFonts w:ascii="Arial" w:eastAsia="Microsoft YaHei" w:hAnsi="Arial" w:cs="Arial" w:hint="eastAsia"/>
          <w:spacing w:val="5"/>
          <w:sz w:val="20"/>
          <w:lang w:val="en-GB" w:eastAsia="zh-CN"/>
        </w:rPr>
        <w:lastRenderedPageBreak/>
        <w:t>中銀國際財務總監王中澤表示</w:t>
      </w:r>
      <w:r w:rsidR="00E76367">
        <w:rPr>
          <w:rFonts w:asciiTheme="minorEastAsia" w:hAnsiTheme="minorEastAsia" w:cs="Arial" w:hint="eastAsia"/>
          <w:spacing w:val="5"/>
          <w:sz w:val="20"/>
        </w:rPr>
        <w:t>：</w:t>
      </w:r>
      <w:r w:rsidR="00355735">
        <w:rPr>
          <w:rFonts w:asciiTheme="minorEastAsia" w:hAnsiTheme="minorEastAsia" w:cs="Arial" w:hint="eastAsia"/>
          <w:spacing w:val="5"/>
          <w:sz w:val="20"/>
          <w:lang w:eastAsia="zh-HK"/>
        </w:rPr>
        <w:t>「</w:t>
      </w:r>
      <w:r w:rsidRPr="00C843BF">
        <w:rPr>
          <w:rFonts w:ascii="Arial" w:eastAsia="Microsoft YaHei" w:hAnsi="Arial" w:cs="Arial" w:hint="eastAsia"/>
          <w:spacing w:val="5"/>
          <w:sz w:val="20"/>
          <w:lang w:val="en-GB" w:eastAsia="zh-CN"/>
        </w:rPr>
        <w:t>中銀國際致力提供最佳服務和最具創新性的解決方案</w:t>
      </w:r>
      <w:r w:rsidR="00E76367">
        <w:rPr>
          <w:rFonts w:asciiTheme="minorEastAsia" w:hAnsiTheme="minorEastAsia" w:cs="Arial" w:hint="eastAsia"/>
          <w:spacing w:val="5"/>
          <w:sz w:val="20"/>
        </w:rPr>
        <w:t>，</w:t>
      </w:r>
      <w:r w:rsidRPr="00C843BF">
        <w:rPr>
          <w:rFonts w:ascii="Arial" w:eastAsia="Microsoft YaHei" w:hAnsi="Arial" w:cs="Arial" w:hint="eastAsia"/>
          <w:spacing w:val="5"/>
          <w:sz w:val="20"/>
          <w:lang w:val="en-GB" w:eastAsia="zh-CN"/>
        </w:rPr>
        <w:t>滿足客戶的多元化需求</w:t>
      </w:r>
      <w:r w:rsidR="00E76367">
        <w:rPr>
          <w:rFonts w:asciiTheme="minorEastAsia" w:hAnsiTheme="minorEastAsia" w:cs="Arial" w:hint="eastAsia"/>
          <w:spacing w:val="5"/>
          <w:sz w:val="20"/>
          <w:lang w:val="en-GB" w:eastAsia="zh-HK"/>
        </w:rPr>
        <w:t>。</w:t>
      </w:r>
      <w:r w:rsidRPr="00C843BF">
        <w:rPr>
          <w:rFonts w:ascii="Arial" w:eastAsia="Microsoft YaHei" w:hAnsi="Arial" w:cs="Arial" w:hint="eastAsia"/>
          <w:spacing w:val="5"/>
          <w:sz w:val="20"/>
          <w:lang w:val="en-GB" w:eastAsia="zh-CN"/>
        </w:rPr>
        <w:t>我們與卓佳展開深入合作</w:t>
      </w:r>
      <w:r w:rsidR="00E76367">
        <w:rPr>
          <w:rFonts w:asciiTheme="minorEastAsia" w:hAnsiTheme="minorEastAsia" w:cs="Arial" w:hint="eastAsia"/>
          <w:spacing w:val="5"/>
          <w:sz w:val="20"/>
        </w:rPr>
        <w:t>，</w:t>
      </w:r>
      <w:r w:rsidRPr="00C843BF">
        <w:rPr>
          <w:rFonts w:ascii="Arial" w:eastAsia="Microsoft YaHei" w:hAnsi="Arial" w:cs="Arial" w:hint="eastAsia"/>
          <w:spacing w:val="5"/>
          <w:sz w:val="20"/>
          <w:lang w:val="en-GB" w:eastAsia="zh-CN"/>
        </w:rPr>
        <w:t>將充分發揮雙方各自的業務優勢</w:t>
      </w:r>
      <w:r w:rsidR="00E76367">
        <w:rPr>
          <w:rFonts w:asciiTheme="minorEastAsia" w:hAnsiTheme="minorEastAsia" w:cs="Arial" w:hint="eastAsia"/>
          <w:spacing w:val="5"/>
          <w:sz w:val="20"/>
        </w:rPr>
        <w:t>，</w:t>
      </w:r>
      <w:r w:rsidRPr="00C843BF">
        <w:rPr>
          <w:rFonts w:ascii="Arial" w:eastAsia="Microsoft YaHei" w:hAnsi="Arial" w:cs="Arial" w:hint="eastAsia"/>
          <w:spacing w:val="5"/>
          <w:sz w:val="20"/>
          <w:lang w:val="en-GB" w:eastAsia="zh-CN"/>
        </w:rPr>
        <w:t>在合作中取得共贏發展。這充分展現了我們與合作夥伴攜手共進</w:t>
      </w:r>
      <w:r w:rsidR="00E76367">
        <w:rPr>
          <w:rFonts w:asciiTheme="minorEastAsia" w:hAnsiTheme="minorEastAsia" w:cs="Arial" w:hint="eastAsia"/>
          <w:spacing w:val="5"/>
          <w:sz w:val="20"/>
        </w:rPr>
        <w:t>，</w:t>
      </w:r>
      <w:r w:rsidRPr="00C843BF">
        <w:rPr>
          <w:rFonts w:ascii="Arial" w:eastAsia="Microsoft YaHei" w:hAnsi="Arial" w:cs="Arial" w:hint="eastAsia"/>
          <w:spacing w:val="5"/>
          <w:sz w:val="20"/>
          <w:lang w:val="en-GB" w:eastAsia="zh-CN"/>
        </w:rPr>
        <w:t>為客戶提供優質</w:t>
      </w:r>
      <w:r w:rsidR="00E76367">
        <w:rPr>
          <w:rFonts w:asciiTheme="minorEastAsia" w:hAnsiTheme="minorEastAsia" w:cs="Arial" w:hint="eastAsia"/>
          <w:spacing w:val="5"/>
          <w:sz w:val="20"/>
          <w:lang w:val="en-GB" w:eastAsia="zh-HK"/>
        </w:rPr>
        <w:t>、</w:t>
      </w:r>
      <w:r w:rsidRPr="00C843BF">
        <w:rPr>
          <w:rFonts w:ascii="Arial" w:eastAsia="Microsoft YaHei" w:hAnsi="Arial" w:cs="Arial" w:hint="eastAsia"/>
          <w:spacing w:val="5"/>
          <w:sz w:val="20"/>
          <w:lang w:val="en-GB" w:eastAsia="zh-CN"/>
        </w:rPr>
        <w:t>專業的產品和服務的堅定承諾</w:t>
      </w:r>
      <w:r w:rsidR="00E76367">
        <w:rPr>
          <w:rFonts w:asciiTheme="minorEastAsia" w:hAnsiTheme="minorEastAsia" w:cs="Arial" w:hint="eastAsia"/>
          <w:spacing w:val="5"/>
          <w:sz w:val="20"/>
          <w:lang w:val="en-GB" w:eastAsia="zh-HK"/>
        </w:rPr>
        <w:t>。</w:t>
      </w:r>
      <w:r w:rsidR="00355735">
        <w:rPr>
          <w:rFonts w:asciiTheme="minorEastAsia" w:hAnsiTheme="minorEastAsia" w:cs="Arial" w:hint="eastAsia"/>
          <w:spacing w:val="5"/>
          <w:sz w:val="20"/>
          <w:lang w:eastAsia="zh-HK"/>
        </w:rPr>
        <w:t>」</w:t>
      </w:r>
    </w:p>
    <w:p w14:paraId="177FC624" w14:textId="77777777" w:rsidR="00C843BF" w:rsidRPr="00C843BF" w:rsidRDefault="00C843BF" w:rsidP="00C843BF">
      <w:pPr>
        <w:spacing w:after="0"/>
        <w:rPr>
          <w:rFonts w:ascii="Arial" w:eastAsia="Microsoft YaHei" w:hAnsi="Arial" w:cs="Arial"/>
          <w:spacing w:val="5"/>
          <w:sz w:val="20"/>
          <w:lang w:val="en-GB" w:eastAsia="zh-CN"/>
        </w:rPr>
      </w:pPr>
    </w:p>
    <w:p w14:paraId="64A2D741" w14:textId="77777777" w:rsidR="001E5824" w:rsidRPr="00F844F5" w:rsidRDefault="001E5824" w:rsidP="001E5824">
      <w:pPr>
        <w:spacing w:after="0"/>
        <w:rPr>
          <w:rFonts w:ascii="Arial" w:eastAsia="Microsoft YaHei" w:hAnsi="Arial" w:cs="Arial"/>
          <w:spacing w:val="5"/>
          <w:sz w:val="20"/>
          <w:lang w:val="en-GB" w:eastAsia="zh-CN"/>
        </w:rPr>
      </w:pP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中銀國際證券董事總經理伍子權補充</w:t>
      </w:r>
      <w:r>
        <w:rPr>
          <w:rFonts w:asciiTheme="minorEastAsia" w:hAnsiTheme="minorEastAsia" w:cs="Arial" w:hint="eastAsia"/>
          <w:spacing w:val="5"/>
          <w:sz w:val="20"/>
        </w:rPr>
        <w:t>：</w:t>
      </w:r>
      <w:r>
        <w:rPr>
          <w:rFonts w:asciiTheme="minorEastAsia" w:hAnsiTheme="minorEastAsia" w:cs="Arial" w:hint="eastAsia"/>
          <w:spacing w:val="5"/>
          <w:sz w:val="20"/>
          <w:lang w:eastAsia="zh-HK"/>
        </w:rPr>
        <w:t>「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過去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15</w:t>
      </w:r>
      <w:r w:rsidRPr="00E76367">
        <w:rPr>
          <w:rFonts w:ascii="Arial" w:eastAsia="Microsoft YaHei" w:hAnsi="Arial" w:cs="Arial" w:hint="eastAsia"/>
          <w:spacing w:val="5"/>
          <w:sz w:val="20"/>
          <w:lang w:val="en-GB"/>
        </w:rPr>
        <w:t>年來</w:t>
      </w:r>
      <w:r>
        <w:rPr>
          <w:rFonts w:asciiTheme="minorEastAsia" w:hAnsiTheme="minorEastAsia" w:cs="Arial" w:hint="eastAsia"/>
          <w:spacing w:val="5"/>
          <w:sz w:val="20"/>
          <w:lang w:val="en-GB"/>
        </w:rPr>
        <w:t>，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中銀國際致力為客戶提供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ESOP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解決方案</w:t>
      </w:r>
      <w:r>
        <w:rPr>
          <w:rFonts w:asciiTheme="minorEastAsia" w:hAnsiTheme="minorEastAsia" w:cs="Arial" w:hint="eastAsia"/>
          <w:spacing w:val="5"/>
          <w:sz w:val="20"/>
          <w:lang w:val="en-GB"/>
        </w:rPr>
        <w:t>，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成為當之無愧的業界領導者</w:t>
      </w:r>
      <w:r>
        <w:rPr>
          <w:rFonts w:asciiTheme="minorEastAsia" w:hAnsiTheme="minorEastAsia" w:cs="Arial" w:hint="eastAsia"/>
          <w:spacing w:val="5"/>
          <w:sz w:val="20"/>
          <w:lang w:val="en-GB" w:eastAsia="zh-HK"/>
        </w:rPr>
        <w:t>。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我們為企業實施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ESOP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服務方案提供最受業界好評的平台之一</w:t>
      </w:r>
      <w:r>
        <w:rPr>
          <w:rFonts w:asciiTheme="minorEastAsia" w:hAnsiTheme="minorEastAsia" w:cs="Arial" w:hint="eastAsia"/>
          <w:spacing w:val="5"/>
          <w:sz w:val="20"/>
          <w:lang w:val="en-GB" w:eastAsia="zh-HK"/>
        </w:rPr>
        <w:t>。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與此同時</w:t>
      </w:r>
      <w:r>
        <w:rPr>
          <w:rFonts w:asciiTheme="minorEastAsia" w:hAnsiTheme="minorEastAsia" w:cs="Arial" w:hint="eastAsia"/>
          <w:spacing w:val="5"/>
          <w:sz w:val="20"/>
          <w:lang w:val="en-GB"/>
        </w:rPr>
        <w:t>，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卓佳在維護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ESOP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受託人方案及提供信託服務方面擁有豐富經驗</w:t>
      </w:r>
      <w:r>
        <w:rPr>
          <w:rFonts w:asciiTheme="minorEastAsia" w:hAnsiTheme="minorEastAsia" w:cs="Arial" w:hint="eastAsia"/>
          <w:spacing w:val="5"/>
          <w:sz w:val="20"/>
          <w:lang w:val="en-GB" w:eastAsia="zh-HK"/>
        </w:rPr>
        <w:t>。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我們相信，此次與卓佳展開合作</w:t>
      </w:r>
      <w:r>
        <w:rPr>
          <w:rFonts w:asciiTheme="minorEastAsia" w:hAnsiTheme="minorEastAsia" w:cs="Arial" w:hint="eastAsia"/>
          <w:spacing w:val="5"/>
          <w:sz w:val="20"/>
          <w:lang w:val="en-GB"/>
        </w:rPr>
        <w:t>，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將為雙方客戶創造更大的價值</w:t>
      </w:r>
      <w:r>
        <w:rPr>
          <w:rFonts w:asciiTheme="minorEastAsia" w:hAnsiTheme="minorEastAsia" w:cs="Arial" w:hint="eastAsia"/>
          <w:spacing w:val="5"/>
          <w:sz w:val="20"/>
          <w:lang w:val="en-GB" w:eastAsia="zh-HK"/>
        </w:rPr>
        <w:t>。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隨著合作項目的正式啟動</w:t>
      </w:r>
      <w:r>
        <w:rPr>
          <w:rFonts w:asciiTheme="minorEastAsia" w:hAnsiTheme="minorEastAsia" w:cs="Arial" w:hint="eastAsia"/>
          <w:spacing w:val="5"/>
          <w:sz w:val="20"/>
          <w:lang w:val="en-GB"/>
        </w:rPr>
        <w:t>，</w:t>
      </w:r>
      <w:r w:rsidRPr="00C843BF">
        <w:rPr>
          <w:rFonts w:ascii="Arial" w:eastAsia="Microsoft YaHei" w:hAnsi="Arial" w:cs="Arial" w:hint="eastAsia"/>
          <w:spacing w:val="5"/>
          <w:sz w:val="20"/>
          <w:lang w:val="en-GB"/>
        </w:rPr>
        <w:t>相信協同效應將會充分展現</w:t>
      </w:r>
      <w:r>
        <w:rPr>
          <w:rFonts w:asciiTheme="minorEastAsia" w:hAnsiTheme="minorEastAsia" w:cs="Arial" w:hint="eastAsia"/>
          <w:spacing w:val="5"/>
          <w:sz w:val="20"/>
          <w:lang w:val="en-GB" w:eastAsia="zh-HK"/>
        </w:rPr>
        <w:t>。</w:t>
      </w:r>
      <w:r>
        <w:rPr>
          <w:rFonts w:asciiTheme="minorEastAsia" w:hAnsiTheme="minorEastAsia" w:cs="Arial" w:hint="eastAsia"/>
          <w:spacing w:val="5"/>
          <w:sz w:val="20"/>
          <w:lang w:eastAsia="zh-HK"/>
        </w:rPr>
        <w:t>」</w:t>
      </w:r>
    </w:p>
    <w:p w14:paraId="5628D824" w14:textId="77777777" w:rsidR="001E5824" w:rsidRDefault="001E5824" w:rsidP="001E5824">
      <w:pPr>
        <w:spacing w:before="120" w:after="120" w:line="360" w:lineRule="auto"/>
        <w:ind w:firstLine="720"/>
        <w:jc w:val="center"/>
        <w:rPr>
          <w:rFonts w:ascii="Microsoft YaHei" w:eastAsia="Microsoft YaHei" w:hAnsi="Microsoft YaHei" w:cs="Arial"/>
          <w:color w:val="000000" w:themeColor="text1"/>
          <w:sz w:val="20"/>
          <w:szCs w:val="20"/>
          <w:lang w:val="en-GB" w:eastAsia="ko-KR"/>
        </w:rPr>
      </w:pPr>
      <w:r w:rsidRPr="00C404BE">
        <w:rPr>
          <w:rFonts w:ascii="Arial" w:eastAsia="Microsoft YaHei" w:hAnsi="Arial" w:cs="Arial"/>
          <w:b/>
          <w:noProof/>
          <w:spacing w:val="5"/>
          <w:sz w:val="20"/>
        </w:rPr>
        <w:drawing>
          <wp:anchor distT="0" distB="0" distL="114300" distR="114300" simplePos="0" relativeHeight="251663360" behindDoc="0" locked="0" layoutInCell="1" allowOverlap="1" wp14:anchorId="0DF57534" wp14:editId="1C9E1506">
            <wp:simplePos x="0" y="0"/>
            <wp:positionH relativeFrom="column">
              <wp:posOffset>-438150</wp:posOffset>
            </wp:positionH>
            <wp:positionV relativeFrom="paragraph">
              <wp:posOffset>429895</wp:posOffset>
            </wp:positionV>
            <wp:extent cx="6867525" cy="123825"/>
            <wp:effectExtent l="0" t="0" r="9525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cor dotted 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4BE">
        <w:rPr>
          <w:rFonts w:ascii="Arial" w:eastAsia="Microsoft YaHei" w:hAnsi="Arial" w:cs="Arial"/>
          <w:b/>
          <w:spacing w:val="5"/>
          <w:sz w:val="20"/>
          <w:lang w:val="en-GB" w:eastAsia="zh-CN"/>
        </w:rPr>
        <w:t>–</w:t>
      </w:r>
      <w:r w:rsidRPr="00C404BE">
        <w:rPr>
          <w:rFonts w:ascii="Arial" w:eastAsia="Microsoft YaHei" w:hAnsi="Arial" w:cs="Arial"/>
          <w:b/>
          <w:spacing w:val="5"/>
          <w:sz w:val="20"/>
          <w:lang w:val="en-GB" w:eastAsia="zh-CN"/>
        </w:rPr>
        <w:t>完</w:t>
      </w:r>
      <w:r w:rsidRPr="00C404BE">
        <w:rPr>
          <w:rFonts w:ascii="Arial" w:eastAsia="Microsoft YaHei" w:hAnsi="Arial" w:cs="Arial"/>
          <w:b/>
          <w:spacing w:val="5"/>
          <w:sz w:val="20"/>
          <w:lang w:val="en-GB" w:eastAsia="zh-CN"/>
        </w:rPr>
        <w:t>–</w:t>
      </w:r>
    </w:p>
    <w:p w14:paraId="4A2394B0" w14:textId="77777777" w:rsidR="001E5824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eastAsia="Malgun Gothic" w:hAnsi="Microsoft YaHei" w:cs="Arial"/>
          <w:b/>
          <w:color w:val="000000" w:themeColor="text1"/>
          <w:sz w:val="20"/>
          <w:szCs w:val="20"/>
          <w:lang w:val="en-GB" w:eastAsia="ko-KR"/>
        </w:rPr>
      </w:pPr>
    </w:p>
    <w:p w14:paraId="77F8BCC2" w14:textId="629A07A1" w:rsidR="001E5824" w:rsidRPr="00A861CA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eastAsia="Microsoft YaHei" w:hAnsi="Microsoft YaHei" w:cs="Arial"/>
          <w:color w:val="000000" w:themeColor="text1"/>
          <w:sz w:val="20"/>
          <w:szCs w:val="20"/>
          <w:lang w:val="en-GB" w:eastAsia="ko-KR"/>
        </w:rPr>
      </w:pPr>
      <w:r w:rsidRPr="00A861CA">
        <w:rPr>
          <w:rFonts w:ascii="Microsoft YaHei" w:eastAsia="Microsoft YaHei" w:hAnsi="Microsoft YaHei" w:cs="Arial" w:hint="eastAsia"/>
          <w:color w:val="000000" w:themeColor="text1"/>
          <w:sz w:val="20"/>
          <w:szCs w:val="20"/>
          <w:lang w:val="en-GB" w:eastAsia="ko-KR"/>
        </w:rPr>
        <w:t>如欲了解更多資訊</w:t>
      </w:r>
      <w:r w:rsidRPr="00A861CA">
        <w:rPr>
          <w:rFonts w:asciiTheme="minorEastAsia" w:hAnsiTheme="minorEastAsia" w:cs="Arial" w:hint="eastAsia"/>
          <w:color w:val="000000" w:themeColor="text1"/>
          <w:sz w:val="20"/>
          <w:szCs w:val="20"/>
          <w:lang w:val="en-GB"/>
        </w:rPr>
        <w:t>，</w:t>
      </w:r>
      <w:r w:rsidRPr="00A861CA">
        <w:rPr>
          <w:rFonts w:ascii="Microsoft YaHei" w:eastAsia="Microsoft YaHei" w:hAnsi="Microsoft YaHei" w:cs="Arial" w:hint="eastAsia"/>
          <w:color w:val="000000" w:themeColor="text1"/>
          <w:sz w:val="20"/>
          <w:szCs w:val="20"/>
          <w:lang w:val="en-GB" w:eastAsia="ko-KR"/>
        </w:rPr>
        <w:t>請聯絡</w:t>
      </w:r>
      <w:r w:rsidRPr="00A861CA">
        <w:rPr>
          <w:rFonts w:asciiTheme="minorEastAsia" w:hAnsiTheme="minorEastAsia" w:cs="Arial" w:hint="eastAsia"/>
          <w:color w:val="000000" w:themeColor="text1"/>
          <w:sz w:val="20"/>
          <w:szCs w:val="20"/>
          <w:lang w:val="en-GB"/>
        </w:rPr>
        <w:t>：</w:t>
      </w:r>
    </w:p>
    <w:p w14:paraId="1C6E5CF5" w14:textId="77777777" w:rsidR="001E5824" w:rsidRPr="004A3592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eastAsia="Microsoft YaHei" w:hAnsi="Microsoft YaHei" w:cs="Arial"/>
          <w:b/>
          <w:color w:val="000000" w:themeColor="text1"/>
          <w:sz w:val="20"/>
          <w:szCs w:val="20"/>
          <w:lang w:val="en-GB" w:eastAsia="ko-KR"/>
        </w:rPr>
      </w:pPr>
      <w:r w:rsidRPr="004A3592">
        <w:rPr>
          <w:rFonts w:ascii="Microsoft YaHei" w:eastAsia="Microsoft YaHei" w:hAnsi="Microsoft YaHei" w:cs="Arial" w:hint="eastAsia"/>
          <w:b/>
          <w:color w:val="000000" w:themeColor="text1"/>
          <w:sz w:val="20"/>
          <w:szCs w:val="20"/>
          <w:lang w:val="en-GB" w:eastAsia="ko-KR"/>
        </w:rPr>
        <w:t>卓佳集團（香港總部）</w:t>
      </w:r>
    </w:p>
    <w:p w14:paraId="50F0EDDB" w14:textId="77777777" w:rsidR="001E5824" w:rsidRPr="0013405C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eastAsia="Microsoft YaHei" w:hAnsi="Microsoft YaHei" w:cs="Arial"/>
          <w:color w:val="000000" w:themeColor="text1"/>
          <w:sz w:val="20"/>
          <w:szCs w:val="20"/>
          <w:lang w:val="en-GB" w:eastAsia="ko-KR"/>
        </w:rPr>
      </w:pPr>
      <w:r w:rsidRPr="0013405C">
        <w:rPr>
          <w:rFonts w:ascii="Microsoft YaHei" w:eastAsia="Microsoft YaHei" w:hAnsi="Microsoft YaHei" w:cs="Arial"/>
          <w:color w:val="000000" w:themeColor="text1"/>
          <w:sz w:val="20"/>
          <w:szCs w:val="20"/>
          <w:lang w:val="en-GB" w:eastAsia="ko-KR"/>
        </w:rPr>
        <w:t>Sunshine Farzan</w:t>
      </w:r>
    </w:p>
    <w:p w14:paraId="45E1D601" w14:textId="77777777" w:rsidR="001E5824" w:rsidRPr="0013405C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eastAsia="Microsoft YaHei" w:hAnsi="Microsoft YaHei" w:cs="Arial"/>
          <w:color w:val="000000" w:themeColor="text1"/>
          <w:sz w:val="20"/>
          <w:szCs w:val="20"/>
          <w:lang w:val="en-GB" w:eastAsia="ko-KR"/>
        </w:rPr>
      </w:pPr>
      <w:r w:rsidRPr="0013405C">
        <w:rPr>
          <w:rFonts w:ascii="Microsoft YaHei" w:eastAsia="Microsoft YaHei" w:hAnsi="Microsoft YaHei" w:cs="Arial" w:hint="eastAsia"/>
          <w:color w:val="000000" w:themeColor="text1"/>
          <w:sz w:val="20"/>
          <w:szCs w:val="20"/>
          <w:lang w:val="en-GB" w:eastAsia="ko-KR"/>
        </w:rPr>
        <w:t>集團市場及傳訊部總監</w:t>
      </w:r>
    </w:p>
    <w:p w14:paraId="03DBD057" w14:textId="77777777" w:rsidR="001E5824" w:rsidRPr="0013405C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eastAsia="Microsoft YaHei" w:hAnsi="Microsoft YaHei" w:cs="Arial"/>
          <w:color w:val="000000" w:themeColor="text1"/>
          <w:sz w:val="20"/>
          <w:szCs w:val="20"/>
          <w:lang w:val="en-GB" w:eastAsia="ko-KR"/>
        </w:rPr>
      </w:pPr>
      <w:r w:rsidRPr="0013405C">
        <w:rPr>
          <w:rFonts w:ascii="Microsoft YaHei" w:eastAsia="Microsoft YaHei" w:hAnsi="Microsoft YaHei" w:cs="Arial" w:hint="eastAsia"/>
          <w:color w:val="000000" w:themeColor="text1"/>
          <w:sz w:val="20"/>
          <w:szCs w:val="20"/>
          <w:lang w:val="en-GB" w:eastAsia="ko-KR"/>
        </w:rPr>
        <w:t>電話: +852 2980 1261</w:t>
      </w:r>
    </w:p>
    <w:p w14:paraId="22D44345" w14:textId="3AD5AE6F" w:rsidR="001E5824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hAnsi="Microsoft YaHei" w:cs="Arial"/>
          <w:color w:val="000000" w:themeColor="text1"/>
          <w:sz w:val="20"/>
          <w:szCs w:val="20"/>
          <w:lang w:val="en-GB"/>
        </w:rPr>
      </w:pPr>
      <w:r w:rsidRPr="0013405C">
        <w:rPr>
          <w:rFonts w:ascii="Microsoft YaHei" w:eastAsia="Microsoft YaHei" w:hAnsi="Microsoft YaHei" w:cs="Arial" w:hint="eastAsia"/>
          <w:color w:val="000000" w:themeColor="text1"/>
          <w:sz w:val="20"/>
          <w:szCs w:val="20"/>
          <w:lang w:val="en-GB" w:eastAsia="ko-KR"/>
        </w:rPr>
        <w:t xml:space="preserve">電郵: </w:t>
      </w:r>
      <w:hyperlink r:id="rId7" w:history="1">
        <w:r w:rsidR="00A861CA" w:rsidRPr="00560098">
          <w:rPr>
            <w:rStyle w:val="Hyperlink"/>
            <w:rFonts w:ascii="Microsoft YaHei" w:eastAsia="Microsoft YaHei" w:hAnsi="Microsoft YaHei" w:cs="Arial"/>
            <w:sz w:val="20"/>
            <w:szCs w:val="20"/>
            <w:lang w:val="en-GB" w:eastAsia="ko-KR"/>
          </w:rPr>
          <w:t>S</w:t>
        </w:r>
        <w:r w:rsidR="00A861CA" w:rsidRPr="00560098">
          <w:rPr>
            <w:rStyle w:val="Hyperlink"/>
            <w:rFonts w:ascii="Microsoft YaHei" w:eastAsia="Microsoft YaHei" w:hAnsi="Microsoft YaHei" w:cs="Arial" w:hint="eastAsia"/>
            <w:sz w:val="20"/>
            <w:szCs w:val="20"/>
            <w:lang w:val="en-GB" w:eastAsia="ko-KR"/>
          </w:rPr>
          <w:t>unshine.</w:t>
        </w:r>
        <w:r w:rsidR="00A861CA" w:rsidRPr="00560098">
          <w:rPr>
            <w:rStyle w:val="Hyperlink"/>
            <w:rFonts w:ascii="Microsoft YaHei" w:eastAsia="Microsoft YaHei" w:hAnsi="Microsoft YaHei" w:cs="Arial"/>
            <w:sz w:val="20"/>
            <w:szCs w:val="20"/>
            <w:lang w:val="en-GB" w:eastAsia="ko-KR"/>
          </w:rPr>
          <w:t>F</w:t>
        </w:r>
        <w:r w:rsidR="00A861CA" w:rsidRPr="00560098">
          <w:rPr>
            <w:rStyle w:val="Hyperlink"/>
            <w:rFonts w:ascii="Microsoft YaHei" w:eastAsia="Microsoft YaHei" w:hAnsi="Microsoft YaHei" w:cs="Arial" w:hint="eastAsia"/>
            <w:sz w:val="20"/>
            <w:szCs w:val="20"/>
            <w:lang w:val="en-GB" w:eastAsia="ko-KR"/>
          </w:rPr>
          <w:t>arzan@hk.tricorglobal.com</w:t>
        </w:r>
      </w:hyperlink>
    </w:p>
    <w:p w14:paraId="4425613E" w14:textId="77777777" w:rsidR="001E5824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hAnsi="Microsoft YaHei" w:cs="Arial"/>
          <w:color w:val="000000" w:themeColor="text1"/>
          <w:sz w:val="20"/>
          <w:szCs w:val="20"/>
          <w:lang w:val="en-GB"/>
        </w:rPr>
      </w:pPr>
    </w:p>
    <w:p w14:paraId="691063AF" w14:textId="77777777" w:rsidR="001E5824" w:rsidRPr="004A3592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eastAsia="Microsoft YaHei" w:hAnsi="Microsoft YaHei" w:cs="Arial"/>
          <w:b/>
          <w:color w:val="000000" w:themeColor="text1"/>
          <w:sz w:val="20"/>
          <w:szCs w:val="20"/>
          <w:lang w:val="en-GB" w:eastAsia="ko-KR"/>
        </w:rPr>
      </w:pPr>
      <w:r w:rsidRPr="004A3592">
        <w:rPr>
          <w:rFonts w:ascii="Microsoft YaHei" w:eastAsia="Microsoft YaHei" w:hAnsi="Microsoft YaHei" w:cs="Arial" w:hint="eastAsia"/>
          <w:b/>
          <w:color w:val="000000" w:themeColor="text1"/>
          <w:sz w:val="20"/>
          <w:szCs w:val="20"/>
          <w:lang w:val="en-GB" w:eastAsia="ko-KR"/>
        </w:rPr>
        <w:t>中銀國際控股有限公司</w:t>
      </w:r>
    </w:p>
    <w:p w14:paraId="34CD1A73" w14:textId="77777777" w:rsidR="001E5824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eastAsia="Malgun Gothic" w:hAnsi="Microsoft YaHei" w:cs="Arial"/>
          <w:color w:val="000000" w:themeColor="text1"/>
          <w:sz w:val="20"/>
          <w:szCs w:val="20"/>
          <w:lang w:val="en-GB" w:eastAsia="ko-KR"/>
        </w:rPr>
      </w:pPr>
      <w:r w:rsidRPr="004074CA">
        <w:rPr>
          <w:rFonts w:ascii="Microsoft YaHei" w:eastAsia="Microsoft YaHei" w:hAnsi="Microsoft YaHei" w:cs="Arial" w:hint="eastAsia"/>
          <w:color w:val="000000" w:themeColor="text1"/>
          <w:sz w:val="20"/>
          <w:szCs w:val="20"/>
          <w:lang w:val="en-GB" w:eastAsia="ko-KR"/>
        </w:rPr>
        <w:t>胡穎</w:t>
      </w:r>
    </w:p>
    <w:p w14:paraId="3B7C7A81" w14:textId="77777777" w:rsidR="001E5824" w:rsidRPr="004A3592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eastAsia="Microsoft YaHei" w:hAnsi="Microsoft YaHei" w:cs="Arial"/>
          <w:color w:val="000000" w:themeColor="text1"/>
          <w:sz w:val="20"/>
          <w:szCs w:val="20"/>
          <w:lang w:val="en-GB" w:eastAsia="ko-KR"/>
        </w:rPr>
      </w:pPr>
      <w:r w:rsidRPr="004A3592">
        <w:rPr>
          <w:rFonts w:ascii="Microsoft YaHei" w:eastAsia="Microsoft YaHei" w:hAnsi="Microsoft YaHei" w:cs="Arial" w:hint="eastAsia"/>
          <w:color w:val="000000" w:themeColor="text1"/>
          <w:sz w:val="20"/>
          <w:szCs w:val="20"/>
          <w:lang w:val="en-GB" w:eastAsia="ko-KR"/>
        </w:rPr>
        <w:t>聯席董事</w:t>
      </w:r>
    </w:p>
    <w:p w14:paraId="317480B4" w14:textId="77777777" w:rsidR="001E5824" w:rsidRPr="004A3592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eastAsia="SimSun" w:hAnsi="Microsoft YaHei" w:cs="Arial"/>
          <w:color w:val="000000" w:themeColor="text1"/>
          <w:sz w:val="20"/>
          <w:szCs w:val="20"/>
          <w:lang w:val="en-GB" w:eastAsia="zh-CN"/>
        </w:rPr>
      </w:pPr>
      <w:r w:rsidRPr="0013405C">
        <w:rPr>
          <w:rFonts w:ascii="Microsoft YaHei" w:eastAsia="Microsoft YaHei" w:hAnsi="Microsoft YaHei" w:cs="Arial" w:hint="eastAsia"/>
          <w:color w:val="000000" w:themeColor="text1"/>
          <w:sz w:val="20"/>
          <w:szCs w:val="20"/>
          <w:lang w:val="en-GB" w:eastAsia="ko-KR"/>
        </w:rPr>
        <w:t>電話</w:t>
      </w:r>
      <w:r w:rsidRPr="004F79F8">
        <w:rPr>
          <w:rFonts w:ascii="Microsoft YaHei" w:eastAsia="PMingLiU" w:hAnsi="Microsoft YaHei" w:cs="Arial"/>
          <w:color w:val="000000" w:themeColor="text1"/>
          <w:sz w:val="20"/>
          <w:szCs w:val="20"/>
          <w:lang w:val="en-GB"/>
        </w:rPr>
        <w:t>: +852 3988 6808</w:t>
      </w:r>
    </w:p>
    <w:p w14:paraId="75456AEB" w14:textId="351E2147" w:rsidR="001E5824" w:rsidRDefault="001E5824" w:rsidP="001E5824">
      <w:pPr>
        <w:tabs>
          <w:tab w:val="left" w:pos="2835"/>
          <w:tab w:val="left" w:pos="5103"/>
        </w:tabs>
        <w:spacing w:before="120" w:after="120" w:line="240" w:lineRule="auto"/>
        <w:ind w:left="5100" w:hanging="5100"/>
        <w:rPr>
          <w:rFonts w:ascii="Microsoft YaHei" w:eastAsia="PMingLiU" w:hAnsi="Microsoft YaHei" w:cs="Arial"/>
          <w:color w:val="000000" w:themeColor="text1"/>
          <w:sz w:val="20"/>
          <w:szCs w:val="20"/>
          <w:lang w:val="en-GB"/>
        </w:rPr>
      </w:pPr>
      <w:r w:rsidRPr="0013405C">
        <w:rPr>
          <w:rFonts w:ascii="Microsoft YaHei" w:eastAsia="Microsoft YaHei" w:hAnsi="Microsoft YaHei" w:cs="Arial" w:hint="eastAsia"/>
          <w:color w:val="000000" w:themeColor="text1"/>
          <w:sz w:val="20"/>
          <w:szCs w:val="20"/>
          <w:lang w:val="en-GB" w:eastAsia="ko-KR"/>
        </w:rPr>
        <w:t>電郵</w:t>
      </w:r>
      <w:r w:rsidRPr="004F79F8">
        <w:rPr>
          <w:rFonts w:ascii="Microsoft YaHei" w:eastAsia="PMingLiU" w:hAnsi="Microsoft YaHei" w:cs="Arial"/>
          <w:color w:val="000000" w:themeColor="text1"/>
          <w:sz w:val="20"/>
          <w:szCs w:val="20"/>
          <w:lang w:val="en-GB"/>
        </w:rPr>
        <w:t xml:space="preserve">: </w:t>
      </w:r>
      <w:hyperlink r:id="rId8" w:history="1">
        <w:r w:rsidR="00A861CA" w:rsidRPr="00560098">
          <w:rPr>
            <w:rStyle w:val="Hyperlink"/>
            <w:rFonts w:ascii="Microsoft YaHei" w:eastAsia="PMingLiU" w:hAnsi="Microsoft YaHei" w:cs="Arial"/>
            <w:sz w:val="20"/>
            <w:szCs w:val="20"/>
            <w:lang w:val="en-GB"/>
          </w:rPr>
          <w:t>Olivia.Hu@bocigroup.com</w:t>
        </w:r>
      </w:hyperlink>
    </w:p>
    <w:p w14:paraId="379E7E34" w14:textId="204A0E7E" w:rsidR="001E5824" w:rsidRPr="00302A6A" w:rsidRDefault="001E5824" w:rsidP="001E5824">
      <w:pPr>
        <w:spacing w:before="120" w:after="120" w:line="360" w:lineRule="auto"/>
        <w:ind w:firstLine="720"/>
        <w:rPr>
          <w:rStyle w:val="Hyperlink"/>
          <w:rFonts w:ascii="Microsoft YaHei" w:eastAsia="Microsoft YaHei" w:hAnsi="Microsoft YaHei" w:cs="Arial"/>
          <w:color w:val="000000" w:themeColor="text1"/>
          <w:u w:val="none"/>
          <w:lang w:val="de-DE"/>
        </w:rPr>
      </w:pPr>
      <w:r w:rsidRPr="00302A6A">
        <w:rPr>
          <w:rFonts w:ascii="Microsoft YaHei" w:eastAsia="Microsoft YaHei" w:hAnsi="Microsoft YaHei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77994571" wp14:editId="4E09FE14">
                <wp:simplePos x="0" y="0"/>
                <wp:positionH relativeFrom="column">
                  <wp:posOffset>0</wp:posOffset>
                </wp:positionH>
                <wp:positionV relativeFrom="paragraph">
                  <wp:posOffset>172084</wp:posOffset>
                </wp:positionV>
                <wp:extent cx="56007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F9F94" id="Line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3.55pt" to="44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kVDwIAACk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" strokeweight="1pt"/>
            </w:pict>
          </mc:Fallback>
        </mc:AlternateContent>
      </w:r>
    </w:p>
    <w:p w14:paraId="7F442DAF" w14:textId="199EC7A7" w:rsidR="001E5824" w:rsidRDefault="001E5824" w:rsidP="001E5824">
      <w:pPr>
        <w:rPr>
          <w:rFonts w:ascii="Microsoft YaHei" w:eastAsia="Microsoft YaHei" w:hAnsi="Microsoft YaHei" w:cs="Arial"/>
          <w:b/>
          <w:sz w:val="20"/>
          <w:szCs w:val="18"/>
          <w:lang w:val="de-DE" w:eastAsia="zh-CN"/>
        </w:rPr>
      </w:pPr>
    </w:p>
    <w:p w14:paraId="7B5E025E" w14:textId="77777777" w:rsidR="001E5824" w:rsidRPr="001E5824" w:rsidRDefault="001E5824" w:rsidP="001E5824">
      <w:pPr>
        <w:rPr>
          <w:rFonts w:ascii="Microsoft YaHei" w:eastAsia="Microsoft YaHei" w:hAnsi="Microsoft YaHei" w:cs="Arial"/>
          <w:b/>
          <w:sz w:val="20"/>
          <w:szCs w:val="18"/>
          <w:lang w:val="de-DE" w:eastAsia="zh-CN"/>
        </w:rPr>
      </w:pPr>
    </w:p>
    <w:p w14:paraId="565C5F1D" w14:textId="61BBDE18" w:rsidR="001E5824" w:rsidRPr="00166358" w:rsidRDefault="001E5824" w:rsidP="001E5824">
      <w:pPr>
        <w:rPr>
          <w:rFonts w:ascii="Microsoft YaHei" w:eastAsia="Microsoft YaHei" w:hAnsi="Microsoft YaHei" w:cs="Arial"/>
          <w:b/>
          <w:sz w:val="20"/>
          <w:szCs w:val="18"/>
          <w:lang w:val="de-DE" w:eastAsia="zh-CN"/>
        </w:rPr>
      </w:pPr>
      <w:r w:rsidRPr="00AD739B">
        <w:rPr>
          <w:rFonts w:ascii="Microsoft YaHei" w:eastAsia="Microsoft YaHei" w:hAnsi="Microsoft YaHei" w:cs="Arial" w:hint="eastAsia"/>
          <w:b/>
          <w:sz w:val="20"/>
          <w:szCs w:val="18"/>
          <w:lang w:eastAsia="zh-CN"/>
        </w:rPr>
        <w:lastRenderedPageBreak/>
        <w:t>卓佳集團簡介</w:t>
      </w:r>
    </w:p>
    <w:p w14:paraId="23280C92" w14:textId="639EA549" w:rsidR="001E5824" w:rsidRPr="001E5824" w:rsidRDefault="001E5824" w:rsidP="001E5824">
      <w:pPr>
        <w:rPr>
          <w:rFonts w:ascii="Microsoft YaHei" w:hAnsi="Microsoft YaHei" w:cs="Arial"/>
          <w:sz w:val="20"/>
          <w:szCs w:val="18"/>
        </w:rPr>
      </w:pPr>
      <w:r w:rsidRPr="00AD739B">
        <w:rPr>
          <w:rFonts w:ascii="Microsoft YaHei" w:eastAsia="Microsoft YaHei" w:hAnsi="Microsoft YaHei" w:cs="Arial" w:hint="eastAsia"/>
          <w:sz w:val="20"/>
          <w:szCs w:val="18"/>
        </w:rPr>
        <w:t>卓佳集團</w:t>
      </w:r>
      <w:r w:rsidRPr="002D0946">
        <w:rPr>
          <w:rFonts w:ascii="Microsoft YaHei" w:eastAsia="Microsoft YaHei" w:hAnsi="Microsoft YaHei" w:cs="Arial" w:hint="eastAsia"/>
          <w:sz w:val="20"/>
          <w:szCs w:val="18"/>
          <w:lang w:val="de-DE"/>
        </w:rPr>
        <w:t>（</w:t>
      </w:r>
      <w:r w:rsidRPr="00AD739B">
        <w:rPr>
          <w:rFonts w:ascii="Microsoft YaHei" w:eastAsia="Microsoft YaHei" w:hAnsi="Microsoft YaHei" w:cs="Arial" w:hint="eastAsia"/>
          <w:sz w:val="20"/>
          <w:szCs w:val="18"/>
        </w:rPr>
        <w:t>卓佳</w:t>
      </w:r>
      <w:r w:rsidRPr="002D0946">
        <w:rPr>
          <w:rFonts w:ascii="Microsoft YaHei" w:eastAsia="Microsoft YaHei" w:hAnsi="Microsoft YaHei" w:cs="Arial" w:hint="eastAsia"/>
          <w:sz w:val="20"/>
          <w:szCs w:val="18"/>
          <w:lang w:val="de-DE"/>
        </w:rPr>
        <w:t>）</w:t>
      </w:r>
      <w:r w:rsidRPr="00AD739B">
        <w:rPr>
          <w:rFonts w:ascii="Microsoft YaHei" w:eastAsia="Microsoft YaHei" w:hAnsi="Microsoft YaHei" w:cs="Arial" w:hint="eastAsia"/>
          <w:sz w:val="20"/>
          <w:szCs w:val="18"/>
        </w:rPr>
        <w:t>是亞洲領先的業務拓展專家</w:t>
      </w:r>
      <w:r w:rsidRPr="002D0946">
        <w:rPr>
          <w:rFonts w:ascii="Microsoft YaHei" w:eastAsia="Microsoft YaHei" w:hAnsi="Microsoft YaHei" w:cs="Arial" w:hint="eastAsia"/>
          <w:sz w:val="20"/>
          <w:szCs w:val="18"/>
          <w:lang w:val="de-DE"/>
        </w:rPr>
        <w:t>，</w:t>
      </w:r>
      <w:r w:rsidRPr="00AD739B">
        <w:rPr>
          <w:rFonts w:ascii="Microsoft YaHei" w:eastAsia="Microsoft YaHei" w:hAnsi="Microsoft YaHei" w:cs="Arial" w:hint="eastAsia"/>
          <w:sz w:val="20"/>
          <w:szCs w:val="18"/>
        </w:rPr>
        <w:t>結合環球知識與本地專業</w:t>
      </w:r>
      <w:r w:rsidRPr="002D0946">
        <w:rPr>
          <w:rFonts w:ascii="Microsoft YaHei" w:eastAsia="Microsoft YaHei" w:hAnsi="Microsoft YaHei" w:cs="Arial" w:hint="eastAsia"/>
          <w:sz w:val="20"/>
          <w:szCs w:val="18"/>
          <w:lang w:val="de-DE"/>
        </w:rPr>
        <w:t>，</w:t>
      </w:r>
      <w:r w:rsidRPr="00AD739B">
        <w:rPr>
          <w:rFonts w:ascii="Microsoft YaHei" w:eastAsia="Microsoft YaHei" w:hAnsi="Microsoft YaHei" w:cs="Arial" w:hint="eastAsia"/>
          <w:sz w:val="20"/>
          <w:szCs w:val="18"/>
        </w:rPr>
        <w:t>提供商務、企業、投資者、人力資源及薪資管理、企業信託及債務等服務。卓佳為企業從成立到上市的每個階段奠定基礎、創優增值。卓佳通過自然增長、合作夥伴關係和併購而迅速擴張，目前集團的全球網絡擁有超過30,000位客戶，員工人數逾2,600 人，辦事處覆蓋21個國家/ 地區的47個城市。卓佳的客戶包括超過1,500間在中國內地及香港上市的公司、約500間在新加坡及馬來西亞上市的公司、超過40%名列《財富》雜誌全球500 強企業的公司，以及眾多在全球市場運營的跨國公司和私營企業。 2017年3月，璞米資本與卓佳的管理層共同成為卓佳集團的聯合股東。</w:t>
      </w:r>
    </w:p>
    <w:p w14:paraId="5276F0AA" w14:textId="77777777" w:rsidR="001E5824" w:rsidRDefault="001E5824" w:rsidP="001E5824">
      <w:pPr>
        <w:rPr>
          <w:rFonts w:ascii="Microsoft YaHei" w:hAnsi="Microsoft YaHei" w:cs="Arial"/>
          <w:sz w:val="20"/>
          <w:szCs w:val="18"/>
        </w:rPr>
      </w:pPr>
      <w:r w:rsidRPr="00AD739B">
        <w:rPr>
          <w:rFonts w:ascii="Microsoft YaHei" w:eastAsia="Microsoft YaHei" w:hAnsi="Microsoft YaHei" w:cs="Arial" w:hint="eastAsia"/>
          <w:sz w:val="20"/>
          <w:szCs w:val="18"/>
          <w:lang w:eastAsia="zh-CN"/>
        </w:rPr>
        <w:t>詳情請瀏覽：</w:t>
      </w:r>
      <w:hyperlink r:id="rId9" w:history="1">
        <w:r w:rsidRPr="00634BD6">
          <w:rPr>
            <w:rStyle w:val="Hyperlink"/>
            <w:rFonts w:ascii="Microsoft YaHei" w:eastAsia="Microsoft YaHei" w:hAnsi="Microsoft YaHei" w:cs="Arial" w:hint="eastAsia"/>
            <w:sz w:val="20"/>
            <w:szCs w:val="18"/>
            <w:lang w:eastAsia="zh-CN"/>
          </w:rPr>
          <w:t>www.tricorglobal.com</w:t>
        </w:r>
      </w:hyperlink>
      <w:r w:rsidRPr="00AD739B">
        <w:rPr>
          <w:rFonts w:ascii="Microsoft YaHei" w:eastAsia="Microsoft YaHei" w:hAnsi="Microsoft YaHei" w:cs="Arial" w:hint="eastAsia"/>
          <w:sz w:val="20"/>
          <w:szCs w:val="18"/>
          <w:lang w:eastAsia="zh-CN"/>
        </w:rPr>
        <w:t>。</w:t>
      </w:r>
    </w:p>
    <w:p w14:paraId="37FB895E" w14:textId="77777777" w:rsidR="001E5824" w:rsidRDefault="001E5824" w:rsidP="001E5824">
      <w:pPr>
        <w:rPr>
          <w:rFonts w:ascii="Microsoft YaHei" w:hAnsi="Microsoft YaHei" w:cs="Arial"/>
          <w:sz w:val="20"/>
          <w:szCs w:val="18"/>
        </w:rPr>
      </w:pPr>
      <w:r w:rsidRPr="004A3592">
        <w:rPr>
          <w:rFonts w:ascii="Microsoft YaHei" w:eastAsia="Microsoft YaHei" w:hAnsi="Microsoft YaHei" w:cs="Arial" w:hint="eastAsia"/>
          <w:b/>
          <w:sz w:val="20"/>
          <w:szCs w:val="18"/>
          <w:lang w:eastAsia="zh-CN"/>
        </w:rPr>
        <w:t>中銀國際簡介</w:t>
      </w:r>
    </w:p>
    <w:p w14:paraId="47D1AC4C" w14:textId="77777777" w:rsidR="001E5824" w:rsidRDefault="001E5824" w:rsidP="001E5824">
      <w:pPr>
        <w:rPr>
          <w:rFonts w:ascii="Microsoft YaHei" w:hAnsi="Microsoft YaHei" w:cs="Arial"/>
          <w:sz w:val="20"/>
          <w:szCs w:val="18"/>
        </w:rPr>
      </w:pPr>
      <w:r w:rsidRPr="008B6B18">
        <w:rPr>
          <w:rFonts w:ascii="Microsoft YaHei" w:eastAsia="Microsoft YaHei" w:hAnsi="Microsoft YaHei" w:cs="Arial" w:hint="eastAsia"/>
          <w:sz w:val="20"/>
          <w:szCs w:val="18"/>
        </w:rPr>
        <w:t>中銀國際控股有限公司（</w:t>
      </w:r>
      <w:r w:rsidRPr="008B6B18">
        <w:rPr>
          <w:rFonts w:ascii="Microsoft YaHei" w:eastAsia="Microsoft YaHei" w:hAnsi="Microsoft YaHei" w:cs="Arial"/>
          <w:sz w:val="20"/>
          <w:szCs w:val="18"/>
        </w:rPr>
        <w:t>“</w:t>
      </w:r>
      <w:r w:rsidRPr="008B6B18">
        <w:rPr>
          <w:rFonts w:ascii="Microsoft YaHei" w:eastAsia="Microsoft YaHei" w:hAnsi="Microsoft YaHei" w:cs="Arial" w:hint="eastAsia"/>
          <w:sz w:val="20"/>
          <w:szCs w:val="18"/>
        </w:rPr>
        <w:t>中銀國際</w:t>
      </w:r>
      <w:r w:rsidRPr="008B6B18">
        <w:rPr>
          <w:rFonts w:ascii="Microsoft YaHei" w:eastAsia="Microsoft YaHei" w:hAnsi="Microsoft YaHei" w:cs="Arial"/>
          <w:sz w:val="20"/>
          <w:szCs w:val="18"/>
        </w:rPr>
        <w:t>”</w:t>
      </w:r>
      <w:r w:rsidRPr="008B6B18">
        <w:rPr>
          <w:rFonts w:ascii="Microsoft YaHei" w:eastAsia="Microsoft YaHei" w:hAnsi="Microsoft YaHei" w:cs="Arial" w:hint="eastAsia"/>
          <w:sz w:val="20"/>
          <w:szCs w:val="18"/>
        </w:rPr>
        <w:t>）是中國最早成立的投資銀行，已成為海外綜合實力領先的中資投行。中銀國際致力為海內外客戶提供包括企業融資、收購兼併、財務顧問、證券銷售、定息收益、私人銀行、資產管理、直接投資、股票衍生產品、杠杆及結構融資、環球大宗商品等在內的全方位投資銀行服務，長期在香港新股發行、股票交易、債券發行、強積金等市場和中國內地資本市場保持領先地位。</w:t>
      </w:r>
    </w:p>
    <w:p w14:paraId="53FAAB17" w14:textId="75697DD1" w:rsidR="00300038" w:rsidRPr="001E5824" w:rsidRDefault="001E5824" w:rsidP="001E5824">
      <w:pPr>
        <w:rPr>
          <w:rFonts w:ascii="Microsoft YaHei" w:eastAsia="Microsoft YaHei" w:hAnsi="Microsoft YaHei" w:cs="Arial"/>
          <w:sz w:val="20"/>
          <w:szCs w:val="18"/>
        </w:rPr>
      </w:pPr>
      <w:r w:rsidRPr="00AD739B">
        <w:rPr>
          <w:rFonts w:ascii="Microsoft YaHei" w:eastAsia="Microsoft YaHei" w:hAnsi="Microsoft YaHei" w:cs="Arial" w:hint="eastAsia"/>
          <w:sz w:val="20"/>
          <w:szCs w:val="18"/>
          <w:lang w:eastAsia="zh-CN"/>
        </w:rPr>
        <w:t>詳情請瀏覽：</w:t>
      </w:r>
      <w:hyperlink r:id="rId10" w:history="1">
        <w:r w:rsidRPr="004A3592">
          <w:rPr>
            <w:rStyle w:val="Hyperlink"/>
            <w:rFonts w:cs="Arial"/>
          </w:rPr>
          <w:t>http://www.bocigroup.com/pub/sc/</w:t>
        </w:r>
      </w:hyperlink>
      <w:r w:rsidRPr="004A3592">
        <w:rPr>
          <w:rFonts w:ascii="Microsoft YaHei" w:eastAsia="Microsoft YaHei" w:hAnsi="Microsoft YaHei" w:cs="Arial" w:hint="eastAsia"/>
          <w:sz w:val="20"/>
          <w:szCs w:val="18"/>
        </w:rPr>
        <w:t>。</w:t>
      </w:r>
    </w:p>
    <w:sectPr w:rsidR="00300038" w:rsidRPr="001E5824" w:rsidSect="0089263A">
      <w:head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532DC" w14:textId="77777777" w:rsidR="006302EE" w:rsidRDefault="006302EE">
      <w:pPr>
        <w:spacing w:after="0" w:line="240" w:lineRule="auto"/>
      </w:pPr>
      <w:r>
        <w:separator/>
      </w:r>
    </w:p>
  </w:endnote>
  <w:endnote w:type="continuationSeparator" w:id="0">
    <w:p w14:paraId="5B6BEDED" w14:textId="77777777" w:rsidR="006302EE" w:rsidRDefault="0063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5F728" w14:textId="77777777" w:rsidR="006302EE" w:rsidRDefault="006302EE">
      <w:pPr>
        <w:spacing w:after="0" w:line="240" w:lineRule="auto"/>
      </w:pPr>
      <w:r>
        <w:separator/>
      </w:r>
    </w:p>
  </w:footnote>
  <w:footnote w:type="continuationSeparator" w:id="0">
    <w:p w14:paraId="7494B268" w14:textId="77777777" w:rsidR="006302EE" w:rsidRDefault="0063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BDB2" w14:textId="27FA003E" w:rsidR="0004210D" w:rsidRDefault="009D6F60" w:rsidP="009D6F60">
    <w:pPr>
      <w:pStyle w:val="Header"/>
      <w:tabs>
        <w:tab w:val="clear" w:pos="4320"/>
        <w:tab w:val="clear" w:pos="8640"/>
        <w:tab w:val="left" w:pos="66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2B6AB" wp14:editId="068A889C">
          <wp:simplePos x="0" y="0"/>
          <wp:positionH relativeFrom="column">
            <wp:posOffset>-743723</wp:posOffset>
          </wp:positionH>
          <wp:positionV relativeFrom="paragraph">
            <wp:posOffset>-281305</wp:posOffset>
          </wp:positionV>
          <wp:extent cx="6939915" cy="1954530"/>
          <wp:effectExtent l="0" t="0" r="0" b="7620"/>
          <wp:wrapTight wrapText="bothSides">
            <wp:wrapPolygon edited="0">
              <wp:start x="0" y="0"/>
              <wp:lineTo x="0" y="21474"/>
              <wp:lineTo x="21523" y="21474"/>
              <wp:lineTo x="215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915" cy="195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xtLA0sDQ0tTQwNTZU0lEKTi0uzszPAykwrwUAgv/95CwAAAA="/>
  </w:docVars>
  <w:rsids>
    <w:rsidRoot w:val="00E5553F"/>
    <w:rsid w:val="000226D8"/>
    <w:rsid w:val="00047E42"/>
    <w:rsid w:val="00073FC5"/>
    <w:rsid w:val="00077A14"/>
    <w:rsid w:val="00091165"/>
    <w:rsid w:val="00094D74"/>
    <w:rsid w:val="0013405C"/>
    <w:rsid w:val="00136906"/>
    <w:rsid w:val="00166358"/>
    <w:rsid w:val="00195DDC"/>
    <w:rsid w:val="001A0C1C"/>
    <w:rsid w:val="001D0EF3"/>
    <w:rsid w:val="001E1BDA"/>
    <w:rsid w:val="001E5824"/>
    <w:rsid w:val="001F0E7B"/>
    <w:rsid w:val="001F5413"/>
    <w:rsid w:val="00202729"/>
    <w:rsid w:val="00214879"/>
    <w:rsid w:val="0024365A"/>
    <w:rsid w:val="002B1AB5"/>
    <w:rsid w:val="002B4882"/>
    <w:rsid w:val="002C0F29"/>
    <w:rsid w:val="002D0946"/>
    <w:rsid w:val="00302A6A"/>
    <w:rsid w:val="00303F36"/>
    <w:rsid w:val="00307641"/>
    <w:rsid w:val="00327D38"/>
    <w:rsid w:val="00355735"/>
    <w:rsid w:val="0035638C"/>
    <w:rsid w:val="0036283D"/>
    <w:rsid w:val="0038434C"/>
    <w:rsid w:val="003D1473"/>
    <w:rsid w:val="003E59F3"/>
    <w:rsid w:val="003F604F"/>
    <w:rsid w:val="00400783"/>
    <w:rsid w:val="00435B74"/>
    <w:rsid w:val="0046495A"/>
    <w:rsid w:val="0049320E"/>
    <w:rsid w:val="00501216"/>
    <w:rsid w:val="00531A6F"/>
    <w:rsid w:val="00557DDD"/>
    <w:rsid w:val="00571D4D"/>
    <w:rsid w:val="00575481"/>
    <w:rsid w:val="0058490D"/>
    <w:rsid w:val="005A660F"/>
    <w:rsid w:val="005B4425"/>
    <w:rsid w:val="005D41B3"/>
    <w:rsid w:val="005D695A"/>
    <w:rsid w:val="005E518D"/>
    <w:rsid w:val="006302EE"/>
    <w:rsid w:val="00652A77"/>
    <w:rsid w:val="00682D94"/>
    <w:rsid w:val="006C2B8E"/>
    <w:rsid w:val="006C5D03"/>
    <w:rsid w:val="006C6ED1"/>
    <w:rsid w:val="006E7842"/>
    <w:rsid w:val="006F3FC6"/>
    <w:rsid w:val="007556B1"/>
    <w:rsid w:val="00756963"/>
    <w:rsid w:val="00765385"/>
    <w:rsid w:val="007A0EC4"/>
    <w:rsid w:val="007A71D1"/>
    <w:rsid w:val="007D3F91"/>
    <w:rsid w:val="007E0623"/>
    <w:rsid w:val="0082635A"/>
    <w:rsid w:val="00841D10"/>
    <w:rsid w:val="0088530E"/>
    <w:rsid w:val="008C5F27"/>
    <w:rsid w:val="008D4C69"/>
    <w:rsid w:val="008D6FA9"/>
    <w:rsid w:val="008F71F3"/>
    <w:rsid w:val="0090305D"/>
    <w:rsid w:val="00907E4C"/>
    <w:rsid w:val="00915DC0"/>
    <w:rsid w:val="00931464"/>
    <w:rsid w:val="0093696F"/>
    <w:rsid w:val="009D6F60"/>
    <w:rsid w:val="009E34C5"/>
    <w:rsid w:val="009E3D82"/>
    <w:rsid w:val="009E6F7C"/>
    <w:rsid w:val="009F7A09"/>
    <w:rsid w:val="00A00536"/>
    <w:rsid w:val="00A15542"/>
    <w:rsid w:val="00A217DA"/>
    <w:rsid w:val="00A31E52"/>
    <w:rsid w:val="00A705A9"/>
    <w:rsid w:val="00A861CA"/>
    <w:rsid w:val="00A86737"/>
    <w:rsid w:val="00AD716E"/>
    <w:rsid w:val="00AD739B"/>
    <w:rsid w:val="00AF6F66"/>
    <w:rsid w:val="00B3698D"/>
    <w:rsid w:val="00B37129"/>
    <w:rsid w:val="00B45E39"/>
    <w:rsid w:val="00B55E70"/>
    <w:rsid w:val="00BB2461"/>
    <w:rsid w:val="00BE2F07"/>
    <w:rsid w:val="00BE491D"/>
    <w:rsid w:val="00C0214E"/>
    <w:rsid w:val="00C30BAE"/>
    <w:rsid w:val="00C404BE"/>
    <w:rsid w:val="00C43805"/>
    <w:rsid w:val="00C52A1C"/>
    <w:rsid w:val="00C67390"/>
    <w:rsid w:val="00C843BF"/>
    <w:rsid w:val="00C93B9F"/>
    <w:rsid w:val="00CD51CB"/>
    <w:rsid w:val="00CD7739"/>
    <w:rsid w:val="00CE7362"/>
    <w:rsid w:val="00CF2C93"/>
    <w:rsid w:val="00D069C9"/>
    <w:rsid w:val="00D15738"/>
    <w:rsid w:val="00D168AC"/>
    <w:rsid w:val="00D338BD"/>
    <w:rsid w:val="00D6146C"/>
    <w:rsid w:val="00D625B5"/>
    <w:rsid w:val="00DC0FC4"/>
    <w:rsid w:val="00DD4219"/>
    <w:rsid w:val="00DE7CAB"/>
    <w:rsid w:val="00E30161"/>
    <w:rsid w:val="00E5553F"/>
    <w:rsid w:val="00E76367"/>
    <w:rsid w:val="00E87F5F"/>
    <w:rsid w:val="00EB15DC"/>
    <w:rsid w:val="00EC37B4"/>
    <w:rsid w:val="00EC4A30"/>
    <w:rsid w:val="00EF3615"/>
    <w:rsid w:val="00F15A36"/>
    <w:rsid w:val="00F263F6"/>
    <w:rsid w:val="00F310A3"/>
    <w:rsid w:val="00F31811"/>
    <w:rsid w:val="00F33687"/>
    <w:rsid w:val="00F417F7"/>
    <w:rsid w:val="00F74B09"/>
    <w:rsid w:val="00F81AC2"/>
    <w:rsid w:val="00F844F5"/>
    <w:rsid w:val="00FA6C4A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A5D8D92"/>
  <w15:docId w15:val="{CFBBF1AB-69EE-450A-A4A7-26793064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53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5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5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E555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5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3F"/>
  </w:style>
  <w:style w:type="paragraph" w:styleId="NormalWeb">
    <w:name w:val="Normal (Web)"/>
    <w:basedOn w:val="Normal"/>
    <w:uiPriority w:val="99"/>
    <w:unhideWhenUsed/>
    <w:rsid w:val="00E5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E5553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DD4219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06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7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F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F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0BA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E3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.Hu@bocigroup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unshine.Farzan@hk.tricorgloba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ocigroup.com/pub/sc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ricor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BOCI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HM Yu (Tricor HK/PDMC)</dc:creator>
  <cp:lastModifiedBy>Alex HM Yu (Tricor HK/PDMC)</cp:lastModifiedBy>
  <cp:revision>7</cp:revision>
  <cp:lastPrinted>2019-07-29T02:45:00Z</cp:lastPrinted>
  <dcterms:created xsi:type="dcterms:W3CDTF">2019-07-29T11:45:00Z</dcterms:created>
  <dcterms:modified xsi:type="dcterms:W3CDTF">2019-07-31T01:47:00Z</dcterms:modified>
</cp:coreProperties>
</file>